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1D" w:rsidRPr="000D5BAF" w:rsidRDefault="00A3251D" w:rsidP="000D5BAF">
      <w:pPr>
        <w:spacing w:after="0" w:line="240" w:lineRule="auto"/>
        <w:ind w:firstLine="567"/>
        <w:jc w:val="center"/>
        <w:outlineLvl w:val="0"/>
        <w:rPr>
          <w:rFonts w:ascii="PTSansRegular" w:eastAsia="Times New Roman" w:hAnsi="PTSansRegular" w:cs="Times New Roman"/>
          <w:b/>
          <w:color w:val="1B232A"/>
          <w:kern w:val="36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color w:val="1B232A"/>
          <w:kern w:val="36"/>
          <w:sz w:val="24"/>
          <w:szCs w:val="24"/>
        </w:rPr>
        <w:t>Иллюзии реорганизации</w:t>
      </w:r>
    </w:p>
    <w:p w:rsidR="00A3251D" w:rsidRPr="000D5BAF" w:rsidRDefault="00A3251D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Источник:  Журнал «Акционерное общество: вопросы корпоративного управления», № 6 (85), 2011</w:t>
      </w:r>
    </w:p>
    <w:p w:rsidR="00A3251D" w:rsidRPr="000D5BAF" w:rsidRDefault="00A3251D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 http://www.branan.ru/media/pubs/236/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 xml:space="preserve">Относительно реализации преобразований существует распространенное заблуждение, что реорганизация компаний – исключительно технический процесс, завершающийся внесением соответствующих изменений в </w:t>
      </w:r>
      <w:r w:rsidR="0074065D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Единый государственный реестр юридических лиц (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ЕГРЮЛ</w:t>
      </w:r>
      <w:r w:rsidR="0074065D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)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. При этом недооценивается значимость процесса реорганизации, который является масштабным и затрагивает все сферы бизнеса: изменяются как организационные процессы и процедуры, так и корпоративная культура реорганизуемых компаний. Авторам проектов реорганизации необходимо избавиться от ряда опасных заблуждений.</w:t>
      </w:r>
    </w:p>
    <w:p w:rsidR="00A3251D" w:rsidRPr="000D5BAF" w:rsidRDefault="00A3251D" w:rsidP="000D5BAF">
      <w:pPr>
        <w:spacing w:after="0" w:line="240" w:lineRule="auto"/>
        <w:ind w:firstLine="567"/>
        <w:jc w:val="center"/>
        <w:outlineLvl w:val="1"/>
        <w:rPr>
          <w:rFonts w:ascii="PTSansRegular" w:eastAsia="Times New Roman" w:hAnsi="PTSansRegular" w:cs="Times New Roman"/>
          <w:b/>
          <w:color w:val="9B243E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color w:val="9B243E"/>
          <w:sz w:val="24"/>
          <w:szCs w:val="24"/>
        </w:rPr>
        <w:t>Первая иллюзия: отсутствие изменений в системе управления при проведении «технической» реорганизации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 xml:space="preserve">Даже если в группе компаний до начала реорганизации действует отлаженная единая система управления, ключевые бизнес-процессы централизованы, это не означает, что объединение компаний не потребует значительных изменений. </w:t>
      </w:r>
      <w:r w:rsidRPr="000D5BAF">
        <w:rPr>
          <w:rFonts w:ascii="PTSansRegular" w:eastAsia="Times New Roman" w:hAnsi="PTSansRegular" w:cs="Times New Roman"/>
          <w:i/>
          <w:color w:val="000000"/>
          <w:sz w:val="24"/>
          <w:szCs w:val="24"/>
        </w:rPr>
        <w:t>Локальные юридические процедуры и управленческие процессы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 xml:space="preserve"> в реорганизуемых компаниях могут отличаться, что зачастую не играет большой роли, когда корпоративный центр контролирует группу по заданным управленческим показателям. Но подобная ситуация может быть критической в случае объединения компаний и их операционной интеграции, требующей переструктурирования </w:t>
      </w:r>
      <w:r w:rsidRPr="000D5BAF">
        <w:rPr>
          <w:rFonts w:ascii="PTSansRegular" w:eastAsia="Times New Roman" w:hAnsi="PTSansRegular" w:cs="Times New Roman"/>
          <w:i/>
          <w:color w:val="000000"/>
          <w:sz w:val="24"/>
          <w:szCs w:val="24"/>
        </w:rPr>
        <w:t>информационных и управленческих потоков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 xml:space="preserve"> в связи с исчезновением или появлением юридических лиц.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 xml:space="preserve">Другая крайность: система управления реорганизуемых компаний характеризуется несколькими центрами ответственности и нерегламентированными подчинениями, различающимися организационными и юридическими процедурами. По итогам реорганизации такая система управления потребует приведения к </w:t>
      </w:r>
      <w:r w:rsidRPr="000D5BAF">
        <w:rPr>
          <w:rFonts w:ascii="PTSansRegular" w:eastAsia="Times New Roman" w:hAnsi="PTSansRegular" w:cs="Times New Roman"/>
          <w:i/>
          <w:color w:val="000000"/>
          <w:sz w:val="24"/>
          <w:szCs w:val="24"/>
        </w:rPr>
        <w:t xml:space="preserve">единому стандарту организационных структур, систем мотивации и вознаграждения, информационных потоков 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и т. д. То есть организационные преобразования неизбежны в любом случае, открытым остается только вопрос их масштаба.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Опыт сопровождения процессов реорганизации в компаниях с разной настройкой системы управления — от операционных до многопрофильных финансовых холдингов — свидетельствует о необходимости параллельной или последовательной реорганизации бизнес-процессов.</w:t>
      </w:r>
    </w:p>
    <w:p w:rsidR="00A3251D" w:rsidRPr="000D5BAF" w:rsidRDefault="00A3251D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В качестве примеров подобных изменений можно привести следующие:</w:t>
      </w:r>
    </w:p>
    <w:p w:rsidR="00A3251D" w:rsidRPr="000D5BAF" w:rsidRDefault="00A3251D" w:rsidP="000D5BA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после завершения преобразований при реорганизации в форме присоединения или слияния региональных компаний в единую структуру (переход на единую акцию) потребуется наладить масштабное обеспечение правоустанавливающей документацией (положения, регламенты, должностные инструкции, доверенности) вновь открывающихся филиалов, которые, как правило, создаются на базе ранее самостоятельных компаний;</w:t>
      </w:r>
    </w:p>
    <w:p w:rsidR="00A3251D" w:rsidRPr="000D5BAF" w:rsidRDefault="00A3251D" w:rsidP="000D5BA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при реорганизациях в форме присоединения или слияния группы компаний следует обязательно обращать внимание на то, как поменяется процесс участия консолидированной компании в имеющихся судебных процессах. До завершения реорганизации каждое из консолидируемых юридических лиц участвует в досудебных и судебных процедурах от своего имени. После завершения реорганизации придется предусматривать специальные доверенности представителям объединенной компании, а также внедрять механизм своевременной централизации всей необходимой информации об актуальных судебных разбирательствах. Изменение таких, казалось бы, сугубо юридических бизнес-процессов очень важно для компаний, ведущих большое количество исков, таких как страховые компании, кредитные организации, компании потребительского сектора, застройщики и девелоперские компании, работающие с недвижимостью;</w:t>
      </w:r>
    </w:p>
    <w:p w:rsidR="00A3251D" w:rsidRPr="000D5BAF" w:rsidRDefault="00A3251D" w:rsidP="000D5BA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lastRenderedPageBreak/>
        <w:t>изменение системы бизнес-планирования и бюджетирования в реорганизованных компаниях. Данные процессы, как правило, подвержены наиболее серьезным трансформациям по итогам реорганизации, в основном в части организации и контроля казначейского исполнения бюджета и порядка обмена информацией между центрами финансовой ответственности.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Своевременное изменение бизнес-процессов является очень важным для обеспечения стабильности функционирования реорганизуемых компаний и требует такого же пристального внимания и трудозатрат, что и составление передаточного акта или разделительного баланса.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 xml:space="preserve">Практический опыт показывает, что </w:t>
      </w:r>
      <w:r w:rsidRPr="000D5BAF">
        <w:rPr>
          <w:rFonts w:ascii="PTSansRegular" w:eastAsia="Times New Roman" w:hAnsi="PTSansRegular" w:cs="Times New Roman"/>
          <w:i/>
          <w:color w:val="000000"/>
          <w:sz w:val="24"/>
          <w:szCs w:val="24"/>
        </w:rPr>
        <w:t>в случае отсутствия законодательных ограничений иногда целесообразно осуществить переход к целевой модели бизнес-процессов не в момент завершения реорганизации, а за короткий период до его наступления, например, продолжительностью в 1 месяц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. Это позволяет апробировать новую модель функционирования компаний и минимизировать риски нестабильности их операционной деятельности.</w:t>
      </w:r>
    </w:p>
    <w:p w:rsidR="00A3251D" w:rsidRPr="000D5BAF" w:rsidRDefault="00A3251D" w:rsidP="000D5BAF">
      <w:pPr>
        <w:spacing w:after="0" w:line="240" w:lineRule="auto"/>
        <w:ind w:firstLine="567"/>
        <w:jc w:val="center"/>
        <w:outlineLvl w:val="1"/>
        <w:rPr>
          <w:rFonts w:ascii="PTSansRegular" w:eastAsia="Times New Roman" w:hAnsi="PTSansRegular" w:cs="Times New Roman"/>
          <w:b/>
          <w:color w:val="9B243E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color w:val="9B243E"/>
          <w:sz w:val="24"/>
          <w:szCs w:val="24"/>
        </w:rPr>
        <w:t>Вторая иллюзия: дешевизна обеспечения процесса изменений</w:t>
      </w:r>
    </w:p>
    <w:p w:rsidR="00A3251D" w:rsidRPr="000D5BAF" w:rsidRDefault="00A3251D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Традиционно архитекторы проекта реорганизации выделяют следующие основные группы затрат:</w:t>
      </w:r>
    </w:p>
    <w:p w:rsidR="00A3251D" w:rsidRPr="000D5BAF" w:rsidRDefault="00A3251D" w:rsidP="000D5B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затраты на регистрационные пошлины и документальное оформление реорганизации;</w:t>
      </w:r>
    </w:p>
    <w:p w:rsidR="00A3251D" w:rsidRPr="000D5BAF" w:rsidRDefault="00A3251D" w:rsidP="000D5B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резервы под удовлетворение требований кредиторов, которые могут быть предъявлены к досрочному исполнению;</w:t>
      </w:r>
    </w:p>
    <w:p w:rsidR="00A3251D" w:rsidRPr="000D5BAF" w:rsidRDefault="00A3251D" w:rsidP="000D5B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выплаты персоналу в случае, если реорганизация сопровождается сокращением персонала.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Состав затрат на реорганизацию во многом зависит от специфики деятельности компании и формы реорганизации.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Так, для обеспечения реализации процесса преобразований для группы компаний:</w:t>
      </w:r>
    </w:p>
    <w:p w:rsidR="00A3251D" w:rsidRPr="000D5BAF" w:rsidRDefault="00A3251D" w:rsidP="000D5BA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владеющей недвижимым имуществом, — значительными будут являться расходы, связанные с переоформлением различных имущественных прав (на землю и объекты недвижимости);</w:t>
      </w:r>
    </w:p>
    <w:p w:rsidR="00A3251D" w:rsidRPr="000D5BAF" w:rsidRDefault="00A3251D" w:rsidP="000D5BA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 обширной филиальной сетью — затраты на нотариальное заверение правоустанавливающей документации и обеспечение ею филиалов и представительств;</w:t>
      </w:r>
    </w:p>
    <w:p w:rsidR="00A3251D" w:rsidRPr="000D5BAF" w:rsidRDefault="00A3251D" w:rsidP="000D5BA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 развитой ИТ-инфраструктурой — затраты на доработку и трансформацию автоматизированных систем управления.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 отдельных случаях специфические затраты могут потребовать до 80% всего бюджета на реорганизацию. А в целом средний бюджет реорганизации для 5-7 компаний с оборотом порядка 1 млрд. руб. в год может легко доходить до 30 млн. рублей именно за счет таких «недооцениваемых» статей.</w:t>
      </w:r>
    </w:p>
    <w:p w:rsidR="00A3251D" w:rsidRPr="000D5BAF" w:rsidRDefault="00A3251D" w:rsidP="000D5BAF">
      <w:pPr>
        <w:spacing w:after="0" w:line="240" w:lineRule="auto"/>
        <w:ind w:firstLine="567"/>
        <w:jc w:val="center"/>
        <w:outlineLvl w:val="1"/>
        <w:rPr>
          <w:rFonts w:ascii="PTSansRegular" w:eastAsia="Times New Roman" w:hAnsi="PTSansRegular" w:cs="Times New Roman"/>
          <w:b/>
          <w:color w:val="9B243E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color w:val="9B243E"/>
          <w:sz w:val="24"/>
          <w:szCs w:val="24"/>
        </w:rPr>
        <w:t>В общем виде стандартный бюджет проведения реорганизации включает следующие статьи затрат</w:t>
      </w:r>
    </w:p>
    <w:p w:rsidR="00A3251D" w:rsidRPr="000D5BAF" w:rsidRDefault="00A3251D" w:rsidP="000D5BAF">
      <w:pPr>
        <w:spacing w:after="0" w:line="240" w:lineRule="auto"/>
        <w:ind w:firstLine="567"/>
        <w:outlineLvl w:val="2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Пример статей затрат на проведение реорганизации</w:t>
      </w:r>
    </w:p>
    <w:p w:rsidR="00A3251D" w:rsidRPr="000D5BAF" w:rsidRDefault="00A3251D" w:rsidP="000D5BAF">
      <w:pPr>
        <w:pStyle w:val="a7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Обязательные затраты юридического характера (пошлины и сборы, услуги нотариусов, подготовка документов, другие затраты, минимально необходимые в силу закона):</w:t>
      </w:r>
    </w:p>
    <w:p w:rsidR="00A3251D" w:rsidRPr="000D5BAF" w:rsidRDefault="00A3251D" w:rsidP="000D5BA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подготовка учредительных документов, присвоение кодов Госкомстата РФ</w:t>
      </w:r>
    </w:p>
    <w:p w:rsidR="00A3251D" w:rsidRPr="000D5BAF" w:rsidRDefault="00A3251D" w:rsidP="000D5BA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оформление прав на объекты недвижимости и земельные участки (государственные пошлины, регистрационные сборы и пр.)</w:t>
      </w:r>
    </w:p>
    <w:p w:rsidR="00A3251D" w:rsidRPr="000D5BAF" w:rsidRDefault="00A3251D" w:rsidP="000D5BA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переоформление лицензий (на работу с гос</w:t>
      </w:r>
      <w:r w:rsidR="009B5C12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 xml:space="preserve">ударственной 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тайной, с персональными данными и проч.) и прав на объекты интеллектуальной собственности и товарные знаки</w:t>
      </w:r>
    </w:p>
    <w:p w:rsidR="00A3251D" w:rsidRPr="000D5BAF" w:rsidRDefault="00A3251D" w:rsidP="000D5BA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регистрация изменения сторон по долгосрочным договорам аренды, по договорам ипотеки (государственные пошлины и пр.)</w:t>
      </w:r>
    </w:p>
    <w:p w:rsidR="00A3251D" w:rsidRPr="000D5BAF" w:rsidRDefault="00A3251D" w:rsidP="000D5BA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lastRenderedPageBreak/>
        <w:t>регистрация перехода прав на транспортные средства</w:t>
      </w:r>
    </w:p>
    <w:p w:rsidR="00A3251D" w:rsidRPr="000D5BAF" w:rsidRDefault="00A3251D" w:rsidP="000D5BA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организация общих собраний акционеров и прочие протокольные мероприятия (публикации в средствах массовой информации, внесение изменений в реестры)</w:t>
      </w:r>
    </w:p>
    <w:p w:rsidR="00A3251D" w:rsidRPr="000D5BAF" w:rsidRDefault="00A3251D" w:rsidP="000D5BA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изготовление печатей, штампов, изменение адресов и наименований на вывесках и сведений о компаниях в рекламно-информационных изданиях, буклетах и т. п.</w:t>
      </w:r>
    </w:p>
    <w:p w:rsidR="00A3251D" w:rsidRPr="000D5BAF" w:rsidRDefault="00A3251D" w:rsidP="000D5BAF">
      <w:pPr>
        <w:pStyle w:val="a7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Удовлетворение требований кредиторов, выплаты персоналу:</w:t>
      </w:r>
    </w:p>
    <w:p w:rsidR="00A3251D" w:rsidRPr="000D5BAF" w:rsidRDefault="00A3251D" w:rsidP="000D5BA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выплаты, полагающиеся работникам при увольнении в связи с реорганизацией</w:t>
      </w:r>
    </w:p>
    <w:p w:rsidR="00A3251D" w:rsidRPr="000D5BAF" w:rsidRDefault="00A3251D" w:rsidP="000D5BA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компенсации за неиспользованный отпуск</w:t>
      </w:r>
    </w:p>
    <w:p w:rsidR="00A3251D" w:rsidRPr="000D5BAF" w:rsidRDefault="00A3251D" w:rsidP="000D5BA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выплаты страховых сумм, предусмотренных трудовыми договорами</w:t>
      </w:r>
    </w:p>
    <w:p w:rsidR="00A3251D" w:rsidRPr="000D5BAF" w:rsidRDefault="00A3251D" w:rsidP="000D5BA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наем нового персонала, подготовка и переподготовка кадров</w:t>
      </w:r>
    </w:p>
    <w:p w:rsidR="00A3251D" w:rsidRPr="000D5BAF" w:rsidRDefault="00A3251D" w:rsidP="000D5BAF">
      <w:pPr>
        <w:pStyle w:val="a7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Специфические затраты, а также затраты на консалтинговые услуги:</w:t>
      </w:r>
    </w:p>
    <w:p w:rsidR="00A3251D" w:rsidRPr="000D5BAF" w:rsidRDefault="00A3251D" w:rsidP="000D5B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доработка ИТ-систем</w:t>
      </w:r>
    </w:p>
    <w:p w:rsidR="00A3251D" w:rsidRPr="000D5BAF" w:rsidRDefault="00A3251D" w:rsidP="000D5B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консалтинговые услуги по сопровождению процесса реорганизации</w:t>
      </w:r>
    </w:p>
    <w:p w:rsidR="00A3251D" w:rsidRPr="000D5BAF" w:rsidRDefault="00A3251D" w:rsidP="000D5B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дополнительные мотивационные премии ключевым сотрудникам компаний, обеспечивающим реализацию преобразований</w:t>
      </w:r>
    </w:p>
    <w:p w:rsidR="00A3251D" w:rsidRPr="000D5BAF" w:rsidRDefault="00A3251D" w:rsidP="000D5B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нотариальное заверение документов</w:t>
      </w:r>
    </w:p>
    <w:p w:rsidR="00A3251D" w:rsidRPr="000D5BAF" w:rsidRDefault="00A3251D" w:rsidP="000D5B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открытие или перерегистрация банковских счетов</w:t>
      </w:r>
    </w:p>
    <w:p w:rsidR="00A3251D" w:rsidRPr="000D5BAF" w:rsidRDefault="00A3251D" w:rsidP="000D5B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перезаключение договоров с телекоммуникационными компаниями</w:t>
      </w:r>
    </w:p>
    <w:p w:rsidR="00A3251D" w:rsidRPr="000D5BAF" w:rsidRDefault="00A3251D" w:rsidP="000D5B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почтовые рассылки правоустанавливающей документации в филиалы и представительства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Чтобы определить общую сумму законодательно предусмотренных платежей, необходим детальный план-график проведения реорганизации, а также перечни:</w:t>
      </w:r>
    </w:p>
    <w:p w:rsidR="00A3251D" w:rsidRPr="000D5BAF" w:rsidRDefault="00A3251D" w:rsidP="000D5BAF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объектов передаваемого имущества (земельные участки, недвижимость, транспортные средства);</w:t>
      </w:r>
    </w:p>
    <w:p w:rsidR="00A3251D" w:rsidRPr="000D5BAF" w:rsidRDefault="00A3251D" w:rsidP="000D5BAF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сотрудников, которые могут быть сокращены в ходе реорганизации;</w:t>
      </w:r>
    </w:p>
    <w:p w:rsidR="00A3251D" w:rsidRPr="000D5BAF" w:rsidRDefault="00A3251D" w:rsidP="000D5BAF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лицензий, необходимых для вновь создаваемых компаний, занимающихся лицензируемыми видами деятельности.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Оценка затрат на услуги сторонних компаний, привлекаемых к реорганизации (компании, предоставляющие юридические и финансовые консультации, осуществляющие независимую оценку имущества, разработку ИТ-инфраструктуры и т. д.), может быть ресурсоемкой и требовать отдельной методологии проведения.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В качестве практического примера такого подхода можно рассмотреть мероприятия по оценке сводного бюджета на изменение ИТ-систем реорганизуемых компаний:</w:t>
      </w:r>
    </w:p>
    <w:p w:rsidR="00A3251D" w:rsidRPr="000D5BAF" w:rsidRDefault="00A3251D" w:rsidP="000D5BA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Формирование бизнес-требований к ИТ-инфраструктуре реорганизуемых обществ на основании целей и задач проведения преобразований.</w:t>
      </w:r>
    </w:p>
    <w:p w:rsidR="00A3251D" w:rsidRPr="000D5BAF" w:rsidRDefault="00A3251D" w:rsidP="000D5BA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Проведение диагностики ИТ-инфраструктуры и выделение ИТ-систем высокого приоритета, изменение которых существенно при проведении реорганизации, например:</w:t>
      </w:r>
    </w:p>
    <w:p w:rsidR="00A3251D" w:rsidRPr="000D5BAF" w:rsidRDefault="00A3251D" w:rsidP="000D5BAF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Системы, поддерживающие классификацию и кодирование информации в реорганизуемых компаниях, которые должны обеспечить изменение иерархии подразделений и их переименование.</w:t>
      </w:r>
    </w:p>
    <w:p w:rsidR="00A3251D" w:rsidRPr="000D5BAF" w:rsidRDefault="00A3251D" w:rsidP="000D5BAF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Системы ведения бухгалтерского и налогового учета, которые, например, в момент завершения реорганизации в форме присоединения должны быть в состоянии обеспечивать формирование консолидированной отчетности по объединенной компании.</w:t>
      </w:r>
    </w:p>
    <w:p w:rsidR="00A3251D" w:rsidRPr="000D5BAF" w:rsidRDefault="00A3251D" w:rsidP="000D5BAF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Системы управления расчетными счетами, которые, например, в момент завершения реорганизации в форме присоединения должны обеспечить реализацию механизма распределения заявок на платежи по нескольким разным счетам объединенной компании, а при реорганизации в форме выделения — отключить из обработки счета, по которым проходили финансовые потоки, связанные с выделенными в отдельную компанию активами.</w:t>
      </w:r>
    </w:p>
    <w:p w:rsidR="00A3251D" w:rsidRPr="000D5BAF" w:rsidRDefault="00A3251D" w:rsidP="000D5BAF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lastRenderedPageBreak/>
        <w:t>Системы учета персонала и расчета заработной платы, которые в ходе реорганизации должны поддерживать возможность учета перевода сотрудников в другое юридическое лицо с сохранением истории перемещений сотрудников.</w:t>
      </w:r>
    </w:p>
    <w:p w:rsidR="00A3251D" w:rsidRPr="000D5BAF" w:rsidRDefault="00A3251D" w:rsidP="000D5BA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Формирование функциональных требований к ИТ-системам и разработка сводного бюджета на доработку ИТ-инфраструктуры на основании стоимости услуг специализированных ИТ-подрядчиков и покупку дополнительного аппаратного обеспечения (если оно оказывается необходимым), например, для обеспечения работы систем резервного копирования с учетом сводных баз данных группы компаний или ведения архивных баз данных.</w:t>
      </w:r>
    </w:p>
    <w:p w:rsidR="00A3251D" w:rsidRPr="000D5BAF" w:rsidRDefault="00A3251D" w:rsidP="000D5BA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Проведение анализа и оценки возможных рисков изменений ИТ-инфраструктуры, в первую очередь, по следующим параметрам:</w:t>
      </w:r>
    </w:p>
    <w:p w:rsidR="00A3251D" w:rsidRPr="000D5BAF" w:rsidRDefault="00A3251D" w:rsidP="000D5BAF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Возможное изменение системы подготовки отчетности в рамках проведения изменений в ИТ-системе.</w:t>
      </w:r>
    </w:p>
    <w:p w:rsidR="00A3251D" w:rsidRPr="000D5BAF" w:rsidRDefault="00A3251D" w:rsidP="000D5BAF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Невозможность восстановления резервного копирования системы.</w:t>
      </w:r>
    </w:p>
    <w:p w:rsidR="00A3251D" w:rsidRPr="000D5BAF" w:rsidRDefault="00A3251D" w:rsidP="000D5BAF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Недостаточная производительность заявленного аппаратного обеспечения.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Оценка статей бюджета реорганизации на практике не дает абсолютно точных результатов и не страхует на 100% от возникновения непредвиденных расходов. Примером подобной ситуации может являться следующая: объекты основных средств реорганизуемых обществ создавались хозяйственным способом, и права на них не были зарегистрированы. В результате процедура оформления прав может потребовать как дополнительного времени, так и увеличения затрат. Для покрытия непредвиденных расходов и минимизации возможных рисков в бюджете реорганизации целесообразно предусмотреть резервный фонд. Как показывает практика, требуемый размер резервного фонда не превышает 5-7% от общей суммы всех расходов на реорганизацию.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</w:p>
    <w:p w:rsidR="00A3251D" w:rsidRPr="000D5BAF" w:rsidRDefault="00A3251D" w:rsidP="000D5BAF">
      <w:pPr>
        <w:spacing w:after="0" w:line="240" w:lineRule="auto"/>
        <w:ind w:firstLine="567"/>
        <w:jc w:val="center"/>
        <w:outlineLvl w:val="1"/>
        <w:rPr>
          <w:rFonts w:ascii="PTSansRegular" w:eastAsia="Times New Roman" w:hAnsi="PTSansRegular" w:cs="Times New Roman"/>
          <w:b/>
          <w:color w:val="9B243E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color w:val="9B243E"/>
          <w:sz w:val="24"/>
          <w:szCs w:val="24"/>
        </w:rPr>
        <w:t>Третья иллюзия: минимальные внутренние трудозатраты на проведение изменений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Проведение преобразований требует мобилизации значительного трудового ресурса в силу:</w:t>
      </w:r>
    </w:p>
    <w:p w:rsidR="00A3251D" w:rsidRPr="000D5BAF" w:rsidRDefault="00A3251D" w:rsidP="000D5BAF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масштабности задач, решаемых сотрудниками в процессе планирования и реализации проекта реорганизации;</w:t>
      </w:r>
    </w:p>
    <w:p w:rsidR="00A3251D" w:rsidRPr="000D5BAF" w:rsidRDefault="00A3251D" w:rsidP="000D5BAF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разноплановости и специфики мероприятий, связанных с реализацией преобразований;</w:t>
      </w:r>
    </w:p>
    <w:p w:rsidR="00A3251D" w:rsidRPr="000D5BAF" w:rsidRDefault="00A3251D" w:rsidP="000D5BAF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потребности в специфическом опыте реализации преобразований.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При этом практика показывает, что «основной удар» в ходе реорганизации принимает на себя бухгалтерия, работа которой связана с составлением заключительной и вступительной отчетности и является наиболее трудозатратной и кропотливой. Второе важное звено — корпоративные юристы, на которых ложится нагрузка по регистрации новых юридических лиц (филиальной сети), регистрации перехода прав на объекты недвижимости, прав в рамках арендных отношений, на транспортные средства.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Решая дилемму о привлечении внешних проектных управляющих для сопровождения реорганизации или о выполнении всего проекта собственными силами, следует, в первую очередь, учитывать, что приобретаемый внутренним ресурсом опыт реализации преобразований ценен, но маловероятно, что он будет востребован повторно. Принимая подобное решение, целесообразно попытаться сравнить стоимость отвлекаемого персонала и сопровождение преобразований за счет внешнего ресурса.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На практике наиболее оптимальным вариантом решения проблемы является применение матричного подхода к управлению реорганизацией (см. рисунок 1) за счет создания рабочих групп по направлениям работ (ИТ, финансы, организационное обеспечение, PR) с привлечением специалистов соответствующих функциональных департаментов под управлением внешнего проектного менеджера.</w:t>
      </w:r>
    </w:p>
    <w:p w:rsidR="00DF64D0" w:rsidRPr="000D5BAF" w:rsidRDefault="00DF64D0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30"/>
        <w:gridCol w:w="2022"/>
        <w:gridCol w:w="1932"/>
        <w:gridCol w:w="396"/>
        <w:gridCol w:w="2173"/>
      </w:tblGrid>
      <w:tr w:rsidR="00DF64D0" w:rsidRPr="000D5BAF" w:rsidTr="006714A0">
        <w:trPr>
          <w:trHeight w:val="556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64D0" w:rsidRPr="000D5BAF" w:rsidRDefault="00DF64D0" w:rsidP="000D5BAF">
            <w:pPr>
              <w:ind w:firstLine="567"/>
              <w:jc w:val="center"/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lastRenderedPageBreak/>
              <w:t>Управляющий комитет</w:t>
            </w:r>
          </w:p>
        </w:tc>
      </w:tr>
      <w:tr w:rsidR="00C92336" w:rsidRPr="000D5BAF" w:rsidTr="006714A0">
        <w:tc>
          <w:tcPr>
            <w:tcW w:w="9571" w:type="dxa"/>
            <w:gridSpan w:val="6"/>
            <w:tcBorders>
              <w:bottom w:val="nil"/>
            </w:tcBorders>
            <w:shd w:val="clear" w:color="auto" w:fill="FDE9D9" w:themeFill="accent6" w:themeFillTint="33"/>
          </w:tcPr>
          <w:p w:rsidR="00C92336" w:rsidRPr="000D5BAF" w:rsidRDefault="00C92336" w:rsidP="000D5BAF">
            <w:pPr>
              <w:ind w:firstLine="567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</w:tr>
      <w:tr w:rsidR="00DF64D0" w:rsidRPr="000D5BAF" w:rsidTr="006714A0">
        <w:trPr>
          <w:trHeight w:val="446"/>
        </w:trPr>
        <w:tc>
          <w:tcPr>
            <w:tcW w:w="3048" w:type="dxa"/>
            <w:gridSpan w:val="2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DF64D0" w:rsidRPr="000D5BAF" w:rsidRDefault="00DF64D0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6523" w:type="dxa"/>
            <w:gridSpan w:val="4"/>
            <w:tcBorders>
              <w:top w:val="nil"/>
              <w:bottom w:val="single" w:sz="4" w:space="0" w:color="auto"/>
            </w:tcBorders>
            <w:shd w:val="clear" w:color="auto" w:fill="92D050"/>
            <w:vAlign w:val="center"/>
          </w:tcPr>
          <w:p w:rsidR="00DF64D0" w:rsidRPr="000D5BAF" w:rsidRDefault="00DF64D0" w:rsidP="000D5BAF">
            <w:pPr>
              <w:ind w:firstLine="71"/>
              <w:jc w:val="center"/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Руководитель проекта</w:t>
            </w:r>
          </w:p>
        </w:tc>
      </w:tr>
      <w:tr w:rsidR="00DF64D0" w:rsidRPr="000D5BAF" w:rsidTr="006714A0">
        <w:tc>
          <w:tcPr>
            <w:tcW w:w="25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F64D0" w:rsidRPr="000D5BAF" w:rsidRDefault="00DF64D0" w:rsidP="000D5BAF">
            <w:pPr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>Функциональные департаменты, с участием которых формируется рабочая группа по блоку работ</w:t>
            </w:r>
          </w:p>
        </w:tc>
        <w:tc>
          <w:tcPr>
            <w:tcW w:w="530" w:type="dxa"/>
            <w:shd w:val="clear" w:color="auto" w:fill="FDE9D9" w:themeFill="accent6" w:themeFillTint="33"/>
          </w:tcPr>
          <w:p w:rsidR="00DF64D0" w:rsidRPr="000D5BAF" w:rsidRDefault="00DF64D0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F64D0" w:rsidRPr="000D5BAF" w:rsidRDefault="00DF64D0" w:rsidP="000D5BAF">
            <w:pPr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>Рабочие группы по блокам работ</w:t>
            </w:r>
          </w:p>
          <w:p w:rsidR="00DF64D0" w:rsidRPr="000D5BAF" w:rsidRDefault="00DF64D0" w:rsidP="000D5BAF">
            <w:pPr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>Состав каждой из рабочих групп формируется из сотрудников функциональных департаментов</w:t>
            </w:r>
            <w:r w:rsidRPr="000D5BAF">
              <w:rPr>
                <w:rFonts w:ascii="PTSansRegular" w:eastAsia="Times New Roman" w:hAnsi="PTSansRegular" w:cs="Times New Roman" w:hint="eastAsia"/>
                <w:noProof/>
                <w:color w:val="000000"/>
                <w:sz w:val="24"/>
                <w:szCs w:val="24"/>
              </w:rPr>
              <w:t xml:space="preserve"> </w:t>
            </w:r>
            <w:r w:rsidRPr="000D5BAF">
              <w:rPr>
                <w:rFonts w:ascii="PTSansRegular" w:eastAsia="Times New Roman" w:hAnsi="PTSansRegular" w:cs="Times New Roman"/>
                <w:noProof/>
                <w:color w:val="000000"/>
                <w:sz w:val="24"/>
                <w:szCs w:val="24"/>
              </w:rPr>
              <w:t>и участников проектного офиса</w:t>
            </w:r>
          </w:p>
        </w:tc>
        <w:tc>
          <w:tcPr>
            <w:tcW w:w="396" w:type="dxa"/>
            <w:shd w:val="clear" w:color="auto" w:fill="FDE9D9" w:themeFill="accent6" w:themeFillTint="33"/>
          </w:tcPr>
          <w:p w:rsidR="00DF64D0" w:rsidRPr="000D5BAF" w:rsidRDefault="00DF64D0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F64D0" w:rsidRPr="000D5BAF" w:rsidRDefault="00DF64D0" w:rsidP="000D5BAF">
            <w:pPr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>Проектный офис, с участием которого оказывается экспертная поддержка рабочих групп</w:t>
            </w:r>
          </w:p>
        </w:tc>
      </w:tr>
      <w:tr w:rsidR="005C3EC6" w:rsidRPr="000D5BAF" w:rsidTr="006714A0">
        <w:trPr>
          <w:trHeight w:val="733"/>
        </w:trPr>
        <w:tc>
          <w:tcPr>
            <w:tcW w:w="2518" w:type="dxa"/>
            <w:shd w:val="clear" w:color="auto" w:fill="95B3D7" w:themeFill="accent1" w:themeFillTint="99"/>
          </w:tcPr>
          <w:p w:rsidR="005C3EC6" w:rsidRPr="000D5BAF" w:rsidRDefault="005C3EC6" w:rsidP="000D5BAF">
            <w:pPr>
              <w:ind w:firstLine="142"/>
              <w:jc w:val="center"/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Департамент 1</w:t>
            </w:r>
          </w:p>
        </w:tc>
        <w:tc>
          <w:tcPr>
            <w:tcW w:w="530" w:type="dxa"/>
            <w:vMerge w:val="restart"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shd w:val="clear" w:color="auto" w:fill="FFFFCC"/>
          </w:tcPr>
          <w:p w:rsidR="005C3EC6" w:rsidRPr="000D5BAF" w:rsidRDefault="005C3EC6" w:rsidP="000D5BAF">
            <w:pPr>
              <w:ind w:firstLine="71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Рабочая группа</w:t>
            </w: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 xml:space="preserve"> по вопросам правового и корпоративного обеспечения</w:t>
            </w:r>
          </w:p>
        </w:tc>
        <w:tc>
          <w:tcPr>
            <w:tcW w:w="1932" w:type="dxa"/>
            <w:vMerge w:val="restart"/>
            <w:shd w:val="clear" w:color="auto" w:fill="FFFFCC"/>
          </w:tcPr>
          <w:p w:rsidR="005C3EC6" w:rsidRPr="000D5BAF" w:rsidRDefault="005C3EC6" w:rsidP="000D5BAF">
            <w:pPr>
              <w:ind w:firstLine="33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Рабочая группа</w:t>
            </w: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 xml:space="preserve"> по финансовым и бухгалтерским вопросам</w:t>
            </w:r>
          </w:p>
        </w:tc>
        <w:tc>
          <w:tcPr>
            <w:tcW w:w="396" w:type="dxa"/>
            <w:vMerge w:val="restart"/>
            <w:shd w:val="clear" w:color="auto" w:fill="FDE9D9" w:themeFill="accent6" w:themeFillTint="33"/>
          </w:tcPr>
          <w:p w:rsidR="005C3EC6" w:rsidRPr="000D5BAF" w:rsidRDefault="00293DAA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505460</wp:posOffset>
                      </wp:positionV>
                      <wp:extent cx="296545" cy="1194435"/>
                      <wp:effectExtent l="17145" t="8890" r="10160" b="635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6545" cy="11944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41D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" o:spid="_x0000_s1026" type="#_x0000_t13" style="position:absolute;margin-left:-5.55pt;margin-top:39.8pt;width:23.35pt;height:94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" fillcolor="#f2f2f2 [3052]"/>
                  </w:pict>
                </mc:Fallback>
              </mc:AlternateContent>
            </w:r>
          </w:p>
        </w:tc>
        <w:tc>
          <w:tcPr>
            <w:tcW w:w="2173" w:type="dxa"/>
            <w:vMerge w:val="restart"/>
            <w:shd w:val="clear" w:color="auto" w:fill="EAF1DD" w:themeFill="accent3" w:themeFillTint="33"/>
          </w:tcPr>
          <w:p w:rsidR="005C3EC6" w:rsidRPr="000D5BAF" w:rsidRDefault="005C3EC6" w:rsidP="000D5BAF">
            <w:pPr>
              <w:ind w:firstLine="115"/>
              <w:jc w:val="right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Проектный офис</w:t>
            </w: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 xml:space="preserve"> должен обладать основными компетенциями в части реорганизации и может быть сформирован как путем набора сотрудников, так и с привлечением внешних экспертов</w:t>
            </w:r>
          </w:p>
        </w:tc>
      </w:tr>
      <w:tr w:rsidR="005C3EC6" w:rsidRPr="000D5BAF" w:rsidTr="006714A0">
        <w:trPr>
          <w:trHeight w:val="984"/>
        </w:trPr>
        <w:tc>
          <w:tcPr>
            <w:tcW w:w="2518" w:type="dxa"/>
            <w:shd w:val="clear" w:color="auto" w:fill="95B3D7" w:themeFill="accent1" w:themeFillTint="99"/>
          </w:tcPr>
          <w:p w:rsidR="005C3EC6" w:rsidRPr="000D5BAF" w:rsidRDefault="00293DAA" w:rsidP="000D5BAF">
            <w:pPr>
              <w:ind w:firstLine="142"/>
              <w:jc w:val="center"/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PTSansRegular" w:eastAsia="Times New Roman" w:hAnsi="PTSansRegular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64135</wp:posOffset>
                      </wp:positionV>
                      <wp:extent cx="358140" cy="1194435"/>
                      <wp:effectExtent l="10795" t="77470" r="12065" b="7112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11944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96345" id="AutoShape 3" o:spid="_x0000_s1026" type="#_x0000_t13" style="position:absolute;margin-left:116.05pt;margin-top:5.05pt;width:28.2pt;height:9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" fillcolor="#f2f2f2 [3052]"/>
                  </w:pict>
                </mc:Fallback>
              </mc:AlternateContent>
            </w:r>
            <w:r w:rsidR="005C3EC6"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Департамент 2</w:t>
            </w:r>
          </w:p>
        </w:tc>
        <w:tc>
          <w:tcPr>
            <w:tcW w:w="530" w:type="dxa"/>
            <w:vMerge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shd w:val="clear" w:color="auto" w:fill="FFFFCC"/>
          </w:tcPr>
          <w:p w:rsidR="005C3EC6" w:rsidRPr="000D5BAF" w:rsidRDefault="005C3EC6" w:rsidP="000D5BAF">
            <w:pPr>
              <w:ind w:firstLine="567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vMerge/>
            <w:shd w:val="clear" w:color="auto" w:fill="FFFFCC"/>
          </w:tcPr>
          <w:p w:rsidR="005C3EC6" w:rsidRPr="000D5BAF" w:rsidRDefault="005C3EC6" w:rsidP="000D5BAF">
            <w:pPr>
              <w:ind w:firstLine="33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EAF1DD" w:themeFill="accent3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</w:tr>
      <w:tr w:rsidR="005C3EC6" w:rsidRPr="000D5BAF" w:rsidTr="006714A0">
        <w:trPr>
          <w:trHeight w:val="696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5C3EC6" w:rsidRPr="000D5BAF" w:rsidRDefault="005C3EC6" w:rsidP="000D5BAF">
            <w:pPr>
              <w:ind w:firstLine="142"/>
              <w:jc w:val="center"/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Департамент 3</w:t>
            </w:r>
          </w:p>
        </w:tc>
        <w:tc>
          <w:tcPr>
            <w:tcW w:w="530" w:type="dxa"/>
            <w:vMerge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shd w:val="clear" w:color="auto" w:fill="FFFFCC"/>
          </w:tcPr>
          <w:p w:rsidR="005C3EC6" w:rsidRPr="000D5BAF" w:rsidRDefault="005C3EC6" w:rsidP="000D5BAF">
            <w:pPr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Рабочая группа</w:t>
            </w: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  <w:lang w:val="en-US"/>
              </w:rPr>
              <w:t>IT</w:t>
            </w: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>-сопровождения</w:t>
            </w:r>
          </w:p>
        </w:tc>
        <w:tc>
          <w:tcPr>
            <w:tcW w:w="1932" w:type="dxa"/>
            <w:vMerge w:val="restart"/>
            <w:shd w:val="clear" w:color="auto" w:fill="FFFFCC"/>
          </w:tcPr>
          <w:p w:rsidR="005C3EC6" w:rsidRPr="000D5BAF" w:rsidRDefault="005C3EC6" w:rsidP="000D5BAF">
            <w:pPr>
              <w:ind w:firstLine="33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  <w:t>Рабочая группа</w:t>
            </w:r>
            <w:r w:rsidRPr="000D5BAF"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  <w:t xml:space="preserve"> по вопросам организацион-ного преобразования</w:t>
            </w:r>
          </w:p>
        </w:tc>
        <w:tc>
          <w:tcPr>
            <w:tcW w:w="396" w:type="dxa"/>
            <w:vMerge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EAF1DD" w:themeFill="accent3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</w:tr>
      <w:tr w:rsidR="005C3EC6" w:rsidRPr="000D5BAF" w:rsidTr="006714A0">
        <w:trPr>
          <w:trHeight w:val="612"/>
        </w:trPr>
        <w:tc>
          <w:tcPr>
            <w:tcW w:w="2518" w:type="dxa"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center"/>
              <w:rPr>
                <w:rFonts w:ascii="PTSansRegular" w:eastAsia="Times New Roman" w:hAnsi="PTSansRegular" w:cs="Times New Roman"/>
                <w:b/>
                <w:color w:val="000000"/>
                <w:sz w:val="24"/>
                <w:szCs w:val="24"/>
              </w:rPr>
            </w:pPr>
            <w:r w:rsidRPr="000D5BAF">
              <w:rPr>
                <w:rFonts w:ascii="PTSansRegular" w:eastAsia="Times New Roman" w:hAnsi="PTSansRegular" w:cs="Times New Roman" w:hint="eastAsia"/>
                <w:b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0" w:type="dxa"/>
            <w:vMerge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shd w:val="clear" w:color="auto" w:fill="FFFFCC"/>
          </w:tcPr>
          <w:p w:rsidR="005C3EC6" w:rsidRPr="000D5BAF" w:rsidRDefault="005C3EC6" w:rsidP="000D5BAF">
            <w:pPr>
              <w:ind w:firstLine="567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vMerge/>
            <w:shd w:val="clear" w:color="auto" w:fill="FFFFCC"/>
          </w:tcPr>
          <w:p w:rsidR="005C3EC6" w:rsidRPr="000D5BAF" w:rsidRDefault="005C3EC6" w:rsidP="000D5BAF">
            <w:pPr>
              <w:ind w:firstLine="567"/>
              <w:jc w:val="center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shd w:val="clear" w:color="auto" w:fill="FDE9D9" w:themeFill="accent6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EAF1DD" w:themeFill="accent3" w:themeFillTint="33"/>
          </w:tcPr>
          <w:p w:rsidR="005C3EC6" w:rsidRPr="000D5BAF" w:rsidRDefault="005C3EC6" w:rsidP="000D5BAF">
            <w:pPr>
              <w:ind w:firstLine="567"/>
              <w:jc w:val="both"/>
              <w:rPr>
                <w:rFonts w:ascii="PTSansRegular" w:eastAsia="Times New Roman" w:hAnsi="PTSansRegular" w:cs="Times New Roman"/>
                <w:color w:val="000000"/>
                <w:sz w:val="24"/>
                <w:szCs w:val="24"/>
              </w:rPr>
            </w:pPr>
          </w:p>
        </w:tc>
      </w:tr>
    </w:tbl>
    <w:p w:rsidR="00A3251D" w:rsidRPr="000D5BAF" w:rsidRDefault="00DF64D0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noProof/>
          <w:color w:val="000000"/>
          <w:sz w:val="24"/>
          <w:szCs w:val="24"/>
        </w:rPr>
        <w:t xml:space="preserve"> </w:t>
      </w:r>
    </w:p>
    <w:p w:rsidR="00A3251D" w:rsidRPr="000D5BAF" w:rsidRDefault="00293DAA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>
        <w:rPr>
          <w:rFonts w:ascii="PTSansRegular" w:eastAsia="Times New Roman" w:hAnsi="PTSansRegular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13970</wp:posOffset>
                </wp:positionV>
                <wp:extent cx="390525" cy="158750"/>
                <wp:effectExtent l="5080" t="8890" r="13970" b="133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58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2B90" id="Rectangle 5" o:spid="_x0000_s1026" style="position:absolute;margin-left:-11.15pt;margin-top:1.1pt;width:30.7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" fillcolor="#e5b8b7 [1301]"/>
            </w:pict>
          </mc:Fallback>
        </mc:AlternateContent>
      </w:r>
      <w:r w:rsidR="00A3251D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 </w:t>
      </w:r>
      <w:r w:rsidR="00637004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Принятие решения по ключевым вопросам</w:t>
      </w:r>
    </w:p>
    <w:p w:rsidR="00637004" w:rsidRPr="000D5BAF" w:rsidRDefault="00293DAA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>
        <w:rPr>
          <w:rFonts w:ascii="PTSansRegular" w:eastAsia="Times New Roman" w:hAnsi="PTSansRegular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203200</wp:posOffset>
                </wp:positionV>
                <wp:extent cx="154305" cy="313690"/>
                <wp:effectExtent l="12065" t="49530" r="14605" b="4635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31369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265E" id="AutoShape 8" o:spid="_x0000_s1026" type="#_x0000_t13" style="position:absolute;margin-left:6.65pt;margin-top:16pt;width:12.15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" fillcolor="#f2f2f2 [3052]"/>
            </w:pict>
          </mc:Fallback>
        </mc:AlternateContent>
      </w:r>
      <w:r>
        <w:rPr>
          <w:rFonts w:ascii="PTSansRegular" w:eastAsia="Times New Roman" w:hAnsi="PTSansRegular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-2540</wp:posOffset>
                </wp:positionV>
                <wp:extent cx="390525" cy="158750"/>
                <wp:effectExtent l="13970" t="5715" r="5080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58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03A95" id="Rectangle 6" o:spid="_x0000_s1026" style="position:absolute;margin-left:-11.95pt;margin-top:-.2pt;width:30.7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" fillcolor="#fde9d9 [665]"/>
            </w:pict>
          </mc:Fallback>
        </mc:AlternateContent>
      </w:r>
      <w:r w:rsidR="00637004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Трудовой и экспертный ресурсы управляющего комитета</w:t>
      </w:r>
    </w:p>
    <w:p w:rsidR="00637004" w:rsidRPr="000D5BAF" w:rsidRDefault="00637004" w:rsidP="000D5BAF">
      <w:pPr>
        <w:spacing w:after="0" w:line="240" w:lineRule="auto"/>
        <w:ind w:firstLine="567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 w:hint="eastAsia"/>
          <w:color w:val="000000"/>
          <w:sz w:val="24"/>
          <w:szCs w:val="24"/>
        </w:rPr>
        <w:t>П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ред</w:t>
      </w:r>
      <w:r w:rsidR="006714A0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</w:t>
      </w: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ставление сотрудникам и в рабочую группу</w:t>
      </w:r>
    </w:p>
    <w:p w:rsidR="00A3251D" w:rsidRPr="000D5BAF" w:rsidRDefault="00A3251D" w:rsidP="000D5BAF">
      <w:pPr>
        <w:spacing w:after="0" w:line="240" w:lineRule="auto"/>
        <w:ind w:firstLine="567"/>
        <w:jc w:val="center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Рисунок 1. Матричный подход к управлению реорганизацией</w:t>
      </w:r>
    </w:p>
    <w:p w:rsidR="006714A0" w:rsidRPr="000D5BAF" w:rsidRDefault="006714A0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</w:pP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Такая структура позволяет:</w:t>
      </w:r>
    </w:p>
    <w:p w:rsidR="00A3251D" w:rsidRPr="000D5BAF" w:rsidRDefault="00A3251D" w:rsidP="000D5BA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выделить единый центр ответственности по проекту;</w:t>
      </w:r>
    </w:p>
    <w:p w:rsidR="00A3251D" w:rsidRPr="000D5BAF" w:rsidRDefault="00A3251D" w:rsidP="000D5BA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создать «независимую» площадку для объективного разрешения спорных вопросов, без «втягивания» в конфликт функциональных подразделений;</w:t>
      </w:r>
    </w:p>
    <w:p w:rsidR="00A3251D" w:rsidRPr="000D5BAF" w:rsidRDefault="00A3251D" w:rsidP="000D5BA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обеспечить единое информационное пространство для всех участников процесса реорганизации;</w:t>
      </w:r>
    </w:p>
    <w:p w:rsidR="00A3251D" w:rsidRPr="000D5BAF" w:rsidRDefault="00A3251D" w:rsidP="000D5BA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координировать выполнение работ по этапам процесса реорганизации;</w:t>
      </w:r>
    </w:p>
    <w:p w:rsidR="00A3251D" w:rsidRPr="000D5BAF" w:rsidRDefault="00A3251D" w:rsidP="000D5BA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контролировать выполнение плана-графика мероприятий;</w:t>
      </w:r>
    </w:p>
    <w:p w:rsidR="00A3251D" w:rsidRPr="000D5BAF" w:rsidRDefault="00A3251D" w:rsidP="000D5BA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более эффективно управлять рисками преобразований.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 общей практике за каждым из участников процесса сопровождения проекта по реорганизации закрепляются следующие функции.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Управляющий комитет:</w:t>
      </w:r>
    </w:p>
    <w:p w:rsidR="00A3251D" w:rsidRPr="000D5BAF" w:rsidRDefault="00A3251D" w:rsidP="000D5BA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утверждение документов и результатов по проекту;</w:t>
      </w:r>
    </w:p>
    <w:p w:rsidR="00A3251D" w:rsidRPr="000D5BAF" w:rsidRDefault="00A3251D" w:rsidP="000D5BA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принятие решений по ключевым вопросам и общий контроль;</w:t>
      </w:r>
    </w:p>
    <w:p w:rsidR="00A3251D" w:rsidRPr="000D5BAF" w:rsidRDefault="00A3251D" w:rsidP="000D5BA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разрешение спорных вопросов в рамках реализации проекта.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Руководитель проекта:</w:t>
      </w:r>
    </w:p>
    <w:p w:rsidR="00A3251D" w:rsidRPr="000D5BAF" w:rsidRDefault="00A3251D" w:rsidP="000D5BA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координация деятельности рабочих групп;</w:t>
      </w:r>
    </w:p>
    <w:p w:rsidR="00A3251D" w:rsidRPr="000D5BAF" w:rsidRDefault="00A3251D" w:rsidP="000D5BA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контроль выполнения мероприятий по плану-графику проекта;</w:t>
      </w:r>
    </w:p>
    <w:p w:rsidR="00A3251D" w:rsidRPr="000D5BAF" w:rsidRDefault="00A3251D" w:rsidP="000D5BA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управление рисками проекта.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Проектный офис — внешний управляющий:</w:t>
      </w:r>
    </w:p>
    <w:p w:rsidR="00A3251D" w:rsidRPr="000D5BAF" w:rsidRDefault="00A3251D" w:rsidP="000D5BA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разработка планов-графиков реорганизации, бюджета, карты рисков;</w:t>
      </w:r>
    </w:p>
    <w:p w:rsidR="00A3251D" w:rsidRPr="000D5BAF" w:rsidRDefault="00A3251D" w:rsidP="000D5BA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lastRenderedPageBreak/>
        <w:t>распределение ролей и ответственных за реализацию мероприятий лиц;</w:t>
      </w:r>
    </w:p>
    <w:p w:rsidR="00A3251D" w:rsidRPr="000D5BAF" w:rsidRDefault="00A3251D" w:rsidP="000D5BA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обеспечение единого информационного пространства для участников преобразований и организационная поддержка;</w:t>
      </w:r>
    </w:p>
    <w:p w:rsidR="00A3251D" w:rsidRPr="000D5BAF" w:rsidRDefault="00A3251D" w:rsidP="000D5BA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выработка согласованных предложений в рамках деятельности рабочих групп, экспертиза по вопросам реорганизации;</w:t>
      </w:r>
    </w:p>
    <w:p w:rsidR="00A3251D" w:rsidRPr="000D5BAF" w:rsidRDefault="00A3251D" w:rsidP="000D5BA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мониторинг исполнения плана-графика проекта, бюджета проекта, карты рисков;</w:t>
      </w:r>
    </w:p>
    <w:p w:rsidR="00A3251D" w:rsidRPr="000D5BAF" w:rsidRDefault="00A3251D" w:rsidP="000D5BA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корреляционный анализ совместимости преобразований с другими существующими и планируемыми проектами.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Рабочие группы проекта:</w:t>
      </w:r>
    </w:p>
    <w:p w:rsidR="00A3251D" w:rsidRPr="000D5BAF" w:rsidRDefault="00A3251D" w:rsidP="000D5BAF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ответственность за реализацию плана-графика по своему направлению, подготовка документации по направлению;</w:t>
      </w:r>
    </w:p>
    <w:p w:rsidR="00A3251D" w:rsidRPr="000D5BAF" w:rsidRDefault="00A3251D" w:rsidP="000D5BAF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анализ и управление рисками в своей функциональной области.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</w:p>
    <w:p w:rsidR="00A3251D" w:rsidRPr="000D5BAF" w:rsidRDefault="00A3251D" w:rsidP="000D5BAF">
      <w:pPr>
        <w:spacing w:after="0" w:line="240" w:lineRule="auto"/>
        <w:ind w:firstLine="567"/>
        <w:jc w:val="center"/>
        <w:outlineLvl w:val="1"/>
        <w:rPr>
          <w:rFonts w:ascii="PTSansRegular" w:eastAsia="Times New Roman" w:hAnsi="PTSansRegular" w:cs="Times New Roman"/>
          <w:b/>
          <w:color w:val="9B243E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color w:val="9B243E"/>
          <w:sz w:val="24"/>
          <w:szCs w:val="24"/>
        </w:rPr>
        <w:t>Четвертая иллюзия: недооценка роли внутреннего информационного сопровождения процесса реорганизации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Руководству компаний, начинающих процесс преобразований, нужно быть готовым к тому, что период подготовки к реорганизации и проведения постреорганизационных процедур может быть довольно долгим — продолжительностью до одного года. Нередко начало процесса реорганизации встречает сопротивление у персонала реорганизуемых компаний. Сотрудники зачастую не понимают целей и задач реорганизации, что может привести к возникновению активного сопротивления изменениям.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Персонал компаний может бояться перемен и воспринимать перевод в другую компанию как повод для увольнения (для части сотрудников процесс реорганизации может быть связан с изменением статуса или значительным увеличением нагрузки, обусловленным выполнением дополнительных функций по сопровождению процесса реорганизации).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Подобные негативные настроения и неопределенность влияют на мотивацию персонала и производительность; лояльность и эффективность могут снизиться в разы, если сотрудники компаний будут обсуждать процесс преобразований, а не выполнять текущие функциональные обязанности. Как правило, возникновение подобных ситуаций вызвано слабым информационным сопровождением процесса, а также отсутствием прозрачных систем мотивации персонала, направленных на выполнение дополнительных функций в ходе процесса преобразований и стимулирование сотрудников на дальнейшую работу в реорганизованной компании.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Одним из решений данной проблемы является формирование плана-графика PR-мероприятий, направленных во внутреннюю среду, пример такого графика представлен в таблице 1</w:t>
      </w:r>
      <w:r w:rsidR="00787889"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.</w:t>
      </w:r>
    </w:p>
    <w:p w:rsidR="00A3251D" w:rsidRPr="000D5BAF" w:rsidRDefault="00A3251D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Внутренние PR-мероприятия должны быть ориентированы на обеспечение сотрудников компаний своевременной, полной и достоверной информацией о ходе реорганизации.</w:t>
      </w:r>
    </w:p>
    <w:p w:rsidR="0028700E" w:rsidRPr="000D5BAF" w:rsidRDefault="0028700E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Внутренние информационные сообщения должны обосновывать необходимость преобразований в группе компаний.</w:t>
      </w:r>
    </w:p>
    <w:p w:rsidR="0028700E" w:rsidRPr="000D5BAF" w:rsidRDefault="0028700E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Основной упор в таких информационных сообщениях должен быть сделан на освещение:</w:t>
      </w:r>
    </w:p>
    <w:p w:rsidR="0028700E" w:rsidRPr="000D5BAF" w:rsidRDefault="0028700E" w:rsidP="000D5BA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целей реорганизации компаний группы;</w:t>
      </w:r>
    </w:p>
    <w:p w:rsidR="0028700E" w:rsidRPr="000D5BAF" w:rsidRDefault="0028700E" w:rsidP="000D5BA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механизмов и принципов преобразований;</w:t>
      </w:r>
    </w:p>
    <w:p w:rsidR="0028700E" w:rsidRPr="000D5BAF" w:rsidRDefault="0028700E" w:rsidP="000D5BA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предполагаемых результатов реорганизации;</w:t>
      </w:r>
    </w:p>
    <w:p w:rsidR="0028700E" w:rsidRPr="000D5BAF" w:rsidRDefault="0028700E" w:rsidP="000D5BA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характера влияния реорганизации на трудовые отношения с персоналом и дополнительные права штатных сотрудников, возникающие в связи с реорганизацией.</w:t>
      </w:r>
    </w:p>
    <w:p w:rsidR="0028700E" w:rsidRPr="000D5BAF" w:rsidRDefault="0028700E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</w:rPr>
        <w:t>В качестве возможных каналов коммуникации и источников дополнительной информации для внутренней аудитории о проведении реорганизации могут стать:</w:t>
      </w:r>
    </w:p>
    <w:p w:rsidR="0028700E" w:rsidRPr="000D5BAF" w:rsidRDefault="0028700E" w:rsidP="000D5BAF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селекторные совещания;</w:t>
      </w:r>
    </w:p>
    <w:p w:rsidR="0028700E" w:rsidRPr="000D5BAF" w:rsidRDefault="0028700E" w:rsidP="000D5BAF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lastRenderedPageBreak/>
        <w:t>официальные информационные письма;</w:t>
      </w:r>
    </w:p>
    <w:p w:rsidR="0028700E" w:rsidRPr="000D5BAF" w:rsidRDefault="0028700E" w:rsidP="000D5BAF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внутренний форум с разделом вопросов-ответов по реорганизации группы компаний;</w:t>
      </w:r>
    </w:p>
    <w:p w:rsidR="0028700E" w:rsidRPr="000D5BAF" w:rsidRDefault="0028700E" w:rsidP="000D5BAF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корпоративная газета;</w:t>
      </w:r>
    </w:p>
    <w:p w:rsidR="0028700E" w:rsidRPr="000D5BAF" w:rsidRDefault="0028700E" w:rsidP="000D5BAF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электронная почта.</w:t>
      </w:r>
    </w:p>
    <w:p w:rsidR="00712B15" w:rsidRPr="000D5BAF" w:rsidRDefault="00712B15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</w:p>
    <w:p w:rsidR="000D5BAF" w:rsidRPr="000D5BAF" w:rsidRDefault="000D5BAF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Помимо PR-мероприятий по сохранению лояльности персонала необходимо создать определенные материальные стимулы для ключевых сотрудников компаний, обеспечивающих процесс реорганизации. На практике в бюджет реорганизации закладываются соответствующие статьи, а также целесообразно предусмотреть возможность дополнительного премирования от экономии бюджета реорганизации для сотрудников реорганизованных компаний, внесших наибольший вклад в реализацию преобразований.</w:t>
      </w:r>
    </w:p>
    <w:p w:rsidR="000D5BAF" w:rsidRPr="000D5BAF" w:rsidRDefault="000D5BAF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i/>
          <w:iCs/>
          <w:color w:val="000000"/>
          <w:sz w:val="24"/>
          <w:szCs w:val="24"/>
        </w:rPr>
        <w:t>Ирина Шанцева, консультант Branan</w:t>
      </w:r>
    </w:p>
    <w:p w:rsidR="000D5BAF" w:rsidRPr="000D5BAF" w:rsidRDefault="000D5BAF" w:rsidP="000D5BA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12B15" w:rsidRPr="000D5BAF" w:rsidRDefault="00712B15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</w:pPr>
    </w:p>
    <w:p w:rsidR="00712B15" w:rsidRPr="000D5BAF" w:rsidRDefault="00712B15" w:rsidP="000D5BAF">
      <w:pPr>
        <w:spacing w:line="240" w:lineRule="auto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br w:type="page"/>
      </w:r>
    </w:p>
    <w:p w:rsidR="00712B15" w:rsidRPr="000D5BAF" w:rsidRDefault="00712B15" w:rsidP="000D5BAF">
      <w:pPr>
        <w:spacing w:after="0" w:line="240" w:lineRule="auto"/>
        <w:ind w:firstLine="567"/>
        <w:jc w:val="both"/>
        <w:rPr>
          <w:rFonts w:ascii="PTSansRegular" w:eastAsia="Times New Roman" w:hAnsi="PTSansRegular" w:cs="Times New Roman"/>
          <w:color w:val="000000"/>
          <w:sz w:val="24"/>
          <w:szCs w:val="24"/>
        </w:rPr>
        <w:sectPr w:rsidR="00712B15" w:rsidRPr="000D5BAF" w:rsidSect="00420A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251D" w:rsidRPr="000D5BAF" w:rsidRDefault="00A3251D" w:rsidP="000D5BAF">
      <w:pPr>
        <w:spacing w:after="0" w:line="240" w:lineRule="auto"/>
        <w:jc w:val="center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380976" cy="5532673"/>
            <wp:effectExtent l="19050" t="0" r="1024" b="0"/>
            <wp:docPr id="2" name="Рисунок 2" descr="http://www.branan.ru/images/Tab.%201_ips_ao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anan.ru/images/Tab.%201_ips_ao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924" cy="553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B15" w:rsidRPr="000D5BAF" w:rsidRDefault="00A3251D" w:rsidP="000D5BAF">
      <w:pPr>
        <w:spacing w:after="0" w:line="240" w:lineRule="auto"/>
        <w:ind w:firstLine="567"/>
        <w:jc w:val="center"/>
        <w:rPr>
          <w:rFonts w:ascii="PTSansRegular" w:eastAsia="Times New Roman" w:hAnsi="PTSansRegular" w:cs="Times New Roman"/>
          <w:color w:val="000000"/>
          <w:sz w:val="24"/>
          <w:szCs w:val="24"/>
        </w:rPr>
      </w:pPr>
      <w:r w:rsidRPr="000D5BAF">
        <w:rPr>
          <w:rFonts w:ascii="PTSansRegular" w:eastAsia="Times New Roman" w:hAnsi="PTSansRegular" w:cs="Times New Roman"/>
          <w:color w:val="000000"/>
          <w:sz w:val="24"/>
          <w:szCs w:val="24"/>
        </w:rPr>
        <w:t>Таблица 1. План-график внутренних PR-мероприятий</w:t>
      </w:r>
    </w:p>
    <w:p w:rsidR="00712B15" w:rsidRPr="000D5BAF" w:rsidRDefault="00712B15" w:rsidP="000D5BAF">
      <w:pPr>
        <w:spacing w:line="240" w:lineRule="auto"/>
        <w:rPr>
          <w:rFonts w:ascii="PTSansRegular" w:eastAsia="Times New Roman" w:hAnsi="PTSansRegular" w:cs="Times New Roman"/>
          <w:color w:val="000000"/>
          <w:sz w:val="24"/>
          <w:szCs w:val="24"/>
        </w:rPr>
        <w:sectPr w:rsidR="00712B15" w:rsidRPr="000D5BAF" w:rsidSect="0028700E"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:rsidR="0074065D" w:rsidRPr="00293DAA" w:rsidRDefault="0074065D" w:rsidP="00293D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DAA">
        <w:rPr>
          <w:rFonts w:ascii="Times New Roman" w:hAnsi="Times New Roman" w:cs="Times New Roman"/>
          <w:i/>
          <w:sz w:val="24"/>
          <w:szCs w:val="24"/>
        </w:rPr>
        <w:lastRenderedPageBreak/>
        <w:t>Задание на основе кейса:</w:t>
      </w:r>
    </w:p>
    <w:p w:rsidR="0074065D" w:rsidRPr="00293DAA" w:rsidRDefault="0074065D" w:rsidP="00293DAA">
      <w:pPr>
        <w:pStyle w:val="a7"/>
        <w:numPr>
          <w:ilvl w:val="1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DAA">
        <w:rPr>
          <w:rFonts w:ascii="Times New Roman" w:hAnsi="Times New Roman" w:cs="Times New Roman"/>
          <w:i/>
          <w:sz w:val="24"/>
          <w:szCs w:val="24"/>
        </w:rPr>
        <w:t>Выпишите основные группы затрат, входящих в бюджет изменений (реорганизации)</w:t>
      </w:r>
      <w:r w:rsidR="00712B15" w:rsidRPr="00293DAA">
        <w:rPr>
          <w:rFonts w:ascii="Times New Roman" w:hAnsi="Times New Roman" w:cs="Times New Roman"/>
          <w:i/>
          <w:sz w:val="24"/>
          <w:szCs w:val="24"/>
        </w:rPr>
        <w:t>.</w:t>
      </w:r>
    </w:p>
    <w:p w:rsidR="00F912B1" w:rsidRPr="00293DAA" w:rsidRDefault="00F912B1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DAA" w:rsidRDefault="00F912B1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 xml:space="preserve">К основным группам затрат можно </w:t>
      </w:r>
      <w:r w:rsidR="00293DAA">
        <w:rPr>
          <w:rFonts w:ascii="Times New Roman" w:hAnsi="Times New Roman" w:cs="Times New Roman"/>
          <w:sz w:val="24"/>
          <w:szCs w:val="24"/>
        </w:rPr>
        <w:t>выделить следующие мероприятия.</w:t>
      </w:r>
    </w:p>
    <w:p w:rsidR="00F912B1" w:rsidRPr="00293DAA" w:rsidRDefault="00F912B1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Традиционная группы затрат:</w:t>
      </w:r>
    </w:p>
    <w:p w:rsidR="00F912B1" w:rsidRPr="00293DAA" w:rsidRDefault="00F912B1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•</w:t>
      </w:r>
      <w:r w:rsidRPr="00293DAA">
        <w:rPr>
          <w:rFonts w:ascii="Times New Roman" w:hAnsi="Times New Roman" w:cs="Times New Roman"/>
          <w:sz w:val="24"/>
          <w:szCs w:val="24"/>
        </w:rPr>
        <w:tab/>
        <w:t>затраты на регистрационные пошлины и документальное оформление реорганизации;</w:t>
      </w:r>
    </w:p>
    <w:p w:rsidR="00F912B1" w:rsidRPr="00293DAA" w:rsidRDefault="00F912B1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•</w:t>
      </w:r>
      <w:r w:rsidRPr="00293DAA">
        <w:rPr>
          <w:rFonts w:ascii="Times New Roman" w:hAnsi="Times New Roman" w:cs="Times New Roman"/>
          <w:sz w:val="24"/>
          <w:szCs w:val="24"/>
        </w:rPr>
        <w:tab/>
        <w:t>резервы под удовлетворение требований кредиторов, которые могут быть предъявлены к досрочному исполнению;</w:t>
      </w:r>
    </w:p>
    <w:p w:rsidR="00F912B1" w:rsidRPr="00293DAA" w:rsidRDefault="00F912B1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•</w:t>
      </w:r>
      <w:r w:rsidRPr="00293DAA">
        <w:rPr>
          <w:rFonts w:ascii="Times New Roman" w:hAnsi="Times New Roman" w:cs="Times New Roman"/>
          <w:sz w:val="24"/>
          <w:szCs w:val="24"/>
        </w:rPr>
        <w:tab/>
        <w:t>выплаты персоналу в случае, если реорганизация сопровождается сокращением персонала.</w:t>
      </w:r>
    </w:p>
    <w:p w:rsidR="00F912B1" w:rsidRPr="00293DAA" w:rsidRDefault="00F912B1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К затратам на проведение изменений и реорганизацию затрат нужно выделить следующие:</w:t>
      </w:r>
    </w:p>
    <w:p w:rsidR="00F912B1" w:rsidRPr="00293DAA" w:rsidRDefault="00F912B1" w:rsidP="00293DAA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293D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Обязательные затраты юридического характера (пошлины и сборы, услуги нотариусов, подготовка документов, другие затраты, минимально необходимые в силу закона)</w:t>
      </w:r>
      <w:r w:rsidR="00293D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912B1" w:rsidRPr="00293DAA" w:rsidRDefault="00F912B1" w:rsidP="00293DAA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293D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Удовлетворение требований кредиторов, выплаты </w:t>
      </w:r>
      <w:r w:rsidR="00293D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персоналу.</w:t>
      </w:r>
    </w:p>
    <w:p w:rsidR="00F912B1" w:rsidRPr="00293DAA" w:rsidRDefault="00F912B1" w:rsidP="00293DAA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293D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Специфические затраты, а также з</w:t>
      </w:r>
      <w:r w:rsidR="00293D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атраты на консалтинговые услуги.</w:t>
      </w:r>
    </w:p>
    <w:p w:rsidR="00293DAA" w:rsidRDefault="00712B15" w:rsidP="00293DAA">
      <w:pPr>
        <w:pStyle w:val="a7"/>
        <w:numPr>
          <w:ilvl w:val="1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DAA">
        <w:rPr>
          <w:rFonts w:ascii="Times New Roman" w:hAnsi="Times New Roman" w:cs="Times New Roman"/>
          <w:i/>
          <w:sz w:val="24"/>
          <w:szCs w:val="24"/>
        </w:rPr>
        <w:t>Какие непредвиденные группы затрат могут сопровождать процесс организационных изменений? Дополните ими список основных затрат.</w:t>
      </w:r>
    </w:p>
    <w:p w:rsidR="004E7A8E" w:rsidRPr="00293DAA" w:rsidRDefault="004E7A8E" w:rsidP="00293DAA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К непредвиденным расходам мы можем отнести затраты на услуги сторонних компаний, привлекаемых к реорганизации (компании, предоставляющие юридические и финансовые консультации, осуществляющие независимую оценку имущества, разработку ИТ-инфраструктуры и т. д.), может быть ресурсоемкой и требовать отдельной методологии проведения.</w:t>
      </w:r>
    </w:p>
    <w:p w:rsidR="00293DAA" w:rsidRDefault="00293DAA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4E7A8E" w:rsidRPr="00293DAA">
        <w:rPr>
          <w:rFonts w:ascii="Times New Roman" w:hAnsi="Times New Roman" w:cs="Times New Roman"/>
          <w:sz w:val="24"/>
          <w:szCs w:val="24"/>
        </w:rPr>
        <w:t>же можем отнести к данным статьям затрат расходы связанные с потерей стоимостью компании и выпуска акций компании в момент проведения организационных изменений.</w:t>
      </w:r>
    </w:p>
    <w:p w:rsidR="00F912B1" w:rsidRPr="00293DAA" w:rsidRDefault="004E7A8E" w:rsidP="00293DA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Также под непредвиденными расходами понимают затраты, которые непосредственно не связаны с производством и реализацией товаров, включающие в том числе пени, штрафы, неустойки за нарушение правил перевозок, невыполнение обязательств по поставке, изготовление некачественных товаров, возмещение убытков, которые понесли потребители некачественной продукции, несвоевременную оплату поставок и так далее.</w:t>
      </w:r>
    </w:p>
    <w:p w:rsidR="0028700E" w:rsidRPr="00293DAA" w:rsidRDefault="00712B15" w:rsidP="00293DAA">
      <w:pPr>
        <w:pStyle w:val="a7"/>
        <w:numPr>
          <w:ilvl w:val="1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DA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Оцените бюджет </w:t>
      </w:r>
      <w:r w:rsidR="00203141" w:rsidRPr="00293DAA">
        <w:rPr>
          <w:rFonts w:ascii="Times New Roman" w:hAnsi="Times New Roman" w:cs="Times New Roman"/>
          <w:i/>
          <w:sz w:val="24"/>
          <w:szCs w:val="24"/>
        </w:rPr>
        <w:t xml:space="preserve">затрат на </w:t>
      </w:r>
      <w:r w:rsidRPr="00293DAA">
        <w:rPr>
          <w:rFonts w:ascii="Times New Roman" w:hAnsi="Times New Roman" w:cs="Times New Roman"/>
          <w:i/>
          <w:sz w:val="24"/>
          <w:szCs w:val="24"/>
        </w:rPr>
        <w:t>реорганизаци</w:t>
      </w:r>
      <w:r w:rsidR="00203141" w:rsidRPr="00293DAA">
        <w:rPr>
          <w:rFonts w:ascii="Times New Roman" w:hAnsi="Times New Roman" w:cs="Times New Roman"/>
          <w:i/>
          <w:sz w:val="24"/>
          <w:szCs w:val="24"/>
        </w:rPr>
        <w:t>ю</w:t>
      </w:r>
      <w:r w:rsidRPr="00293DAA">
        <w:rPr>
          <w:rFonts w:ascii="Times New Roman" w:hAnsi="Times New Roman" w:cs="Times New Roman"/>
          <w:i/>
          <w:sz w:val="24"/>
          <w:szCs w:val="24"/>
        </w:rPr>
        <w:t>, заключающ</w:t>
      </w:r>
      <w:r w:rsidR="00203141" w:rsidRPr="00293DAA">
        <w:rPr>
          <w:rFonts w:ascii="Times New Roman" w:hAnsi="Times New Roman" w:cs="Times New Roman"/>
          <w:i/>
          <w:sz w:val="24"/>
          <w:szCs w:val="24"/>
        </w:rPr>
        <w:t>ую</w:t>
      </w:r>
      <w:r w:rsidRPr="00293DAA">
        <w:rPr>
          <w:rFonts w:ascii="Times New Roman" w:hAnsi="Times New Roman" w:cs="Times New Roman"/>
          <w:i/>
          <w:sz w:val="24"/>
          <w:szCs w:val="24"/>
        </w:rPr>
        <w:t xml:space="preserve">ся в слиянии 2-ух компаний. </w:t>
      </w:r>
    </w:p>
    <w:p w:rsidR="00FE2449" w:rsidRPr="00293DAA" w:rsidRDefault="002534A4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 xml:space="preserve">При подаче двумя компаниями заявки на реорганизацию (слияние) одновременно существовавшие ранее компании ликвидируются, и регистрируется вновь образуемая компания. </w:t>
      </w:r>
      <w:r w:rsidR="00712B15" w:rsidRPr="00293DAA"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регистрационные пошлины </w:t>
      </w:r>
      <w:r w:rsidR="00203141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составляют 4000 руб., услуги фирмы, осуществляющей сопровождение документального оформления регистрации составляют 18000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руб.;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слиянии потребуется 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перерегистрация трансп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ортных средств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, нежилой недвижимости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принадлежащей компаниям, что потребует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10000 руб.  </w:t>
      </w:r>
      <w:r w:rsidR="00FE2449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осуществления реорганизации одна из компаний вынуждена будет досрочно погасить 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2449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остаток кредита в размере 800 тыс. руб. 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5C8B" w:rsidRPr="00293DAA" w:rsidRDefault="00FE2449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Административно-управленческий персонал каждой их реорганизуемых компаний включает: директора, трех заместителей директора (по производству, по финансам, по маркетингу и сбыту), секретаря, главного бухгалтера и по 3 бухгалтера, главного инженера. </w:t>
      </w:r>
      <w:r w:rsidR="00BF1513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з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арплата </w:t>
      </w:r>
      <w:r w:rsidR="00BF1513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месяц 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– 500 тыс. руб., заместителей директора и главного бухгалтера – 3</w:t>
      </w:r>
      <w:r w:rsidR="00D55C8B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тыс. руб., главного инженера – 250 тыс. руб., бухгалтеров и секретаря – по 60 тыс. руб. в месяц. Во вновь образуемой компании планируется следующее штатное расписание административно-управленческих сотрудников: директор, 4 заместителя (по производству, финансам, маркетингу и сбыту, коммерческий директор), секретарь, главный инженер, главный бухгалтер, 4 бухгалтера.  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1513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Численность </w:t>
      </w:r>
      <w:r w:rsidR="00D55C8B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мастеров</w:t>
      </w:r>
      <w:r w:rsidR="00BF1513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</w:t>
      </w:r>
      <w:r w:rsidR="00203141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F1513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организациях сократится на 5 человек, их среднемесячная оплата труда составляет </w:t>
      </w:r>
      <w:r w:rsidR="00D55C8B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F1513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тыс. руб. </w:t>
      </w:r>
      <w:r w:rsidR="00D55C8B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сокращений не предусмотрено.</w:t>
      </w:r>
    </w:p>
    <w:p w:rsidR="0074065D" w:rsidRPr="00293DAA" w:rsidRDefault="00BF1513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законодательством при сокращении организация обязана выплатить сотруднику компенсацию</w:t>
      </w:r>
      <w:r w:rsidR="00D55C8B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среднем составляющую от 3 размеров среднемесячной оплаты труда.</w:t>
      </w:r>
      <w:r w:rsidR="0066344C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1513" w:rsidRPr="00293DAA" w:rsidRDefault="00BF1513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 компаний предполагает оставить директором объединенной компании одного из директоров, но второго стремится удержать и предложить ему должность коммерческого директора</w:t>
      </w:r>
      <w:r w:rsidR="00D55C8B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заработной платой 450 тыс. руб. </w:t>
      </w:r>
    </w:p>
    <w:p w:rsidR="00712B15" w:rsidRPr="00293DAA" w:rsidRDefault="00D55C8B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 xml:space="preserve">Проект реорганизации намечено провести в течение 3 месяцев. Для его реализации создана проектная группа, состоящая из руководителя проекта (будущий директор объединенной компании) и 4 сотрудников, один из них (будущий коммерческий) отвечает за реорганизацию системы договоров, второй </w:t>
      </w:r>
      <w:r w:rsidR="00EE64BD" w:rsidRPr="00293DAA">
        <w:rPr>
          <w:rFonts w:ascii="Times New Roman" w:hAnsi="Times New Roman" w:cs="Times New Roman"/>
          <w:sz w:val="24"/>
          <w:szCs w:val="24"/>
        </w:rPr>
        <w:t xml:space="preserve">(будущий финансовый) </w:t>
      </w:r>
      <w:r w:rsidRPr="00293DAA">
        <w:rPr>
          <w:rFonts w:ascii="Times New Roman" w:hAnsi="Times New Roman" w:cs="Times New Roman"/>
          <w:sz w:val="24"/>
          <w:szCs w:val="24"/>
        </w:rPr>
        <w:t xml:space="preserve">– за </w:t>
      </w:r>
      <w:r w:rsidR="00EE64BD" w:rsidRPr="00293DAA">
        <w:rPr>
          <w:rFonts w:ascii="Times New Roman" w:hAnsi="Times New Roman" w:cs="Times New Roman"/>
          <w:sz w:val="24"/>
          <w:szCs w:val="24"/>
        </w:rPr>
        <w:t xml:space="preserve">реорганизацию системы бюджетирования, третий (главбух) - за подготовку и изменение бухгалтерской документации, четвертый (будущий директор по маркетингу) – за внешние и внутренние коммуникационные мероприятия, разработку и развитие нового бренда. На период </w:t>
      </w:r>
      <w:r w:rsidR="00EE64BD" w:rsidRPr="00293DAA">
        <w:rPr>
          <w:rFonts w:ascii="Times New Roman" w:hAnsi="Times New Roman" w:cs="Times New Roman"/>
          <w:sz w:val="24"/>
          <w:szCs w:val="24"/>
        </w:rPr>
        <w:lastRenderedPageBreak/>
        <w:t xml:space="preserve">реорганизации (3 месяца) участники комитета получат надбавки в размере по 100 тыс. руб. </w:t>
      </w:r>
      <w:r w:rsidR="008577E8" w:rsidRPr="00293DAA">
        <w:rPr>
          <w:rFonts w:ascii="Times New Roman" w:hAnsi="Times New Roman" w:cs="Times New Roman"/>
          <w:sz w:val="24"/>
          <w:szCs w:val="24"/>
        </w:rPr>
        <w:t xml:space="preserve">в месяц </w:t>
      </w:r>
      <w:r w:rsidR="00EE64BD" w:rsidRPr="00293DAA">
        <w:rPr>
          <w:rFonts w:ascii="Times New Roman" w:hAnsi="Times New Roman" w:cs="Times New Roman"/>
          <w:sz w:val="24"/>
          <w:szCs w:val="24"/>
        </w:rPr>
        <w:t>каждый.</w:t>
      </w:r>
    </w:p>
    <w:p w:rsidR="00EE64BD" w:rsidRPr="00293DAA" w:rsidRDefault="00EE64BD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Перерегистрация нового товарного знака для продукции объединенной компании обойдется в 100 тыс. руб.</w:t>
      </w:r>
    </w:p>
    <w:p w:rsidR="00EE64BD" w:rsidRPr="00293DAA" w:rsidRDefault="00EE64BD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 xml:space="preserve">Переоформление договоров с поставщиками и партнерами по сбыту будет стоить 150 тыс. руб., </w:t>
      </w:r>
    </w:p>
    <w:p w:rsidR="0028700E" w:rsidRPr="00293DAA" w:rsidRDefault="0028700E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203141" w:rsidRPr="00293DAA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293DAA">
        <w:rPr>
          <w:rFonts w:ascii="Times New Roman" w:hAnsi="Times New Roman" w:cs="Times New Roman"/>
          <w:sz w:val="24"/>
          <w:szCs w:val="24"/>
        </w:rPr>
        <w:t xml:space="preserve">системы учета созданной компании в единую базу обойдется в </w:t>
      </w:r>
      <w:r w:rsidR="00203141" w:rsidRPr="00293DAA">
        <w:rPr>
          <w:rFonts w:ascii="Times New Roman" w:hAnsi="Times New Roman" w:cs="Times New Roman"/>
          <w:sz w:val="24"/>
          <w:szCs w:val="24"/>
        </w:rPr>
        <w:t>4</w:t>
      </w:r>
      <w:r w:rsidRPr="00293DAA">
        <w:rPr>
          <w:rFonts w:ascii="Times New Roman" w:hAnsi="Times New Roman" w:cs="Times New Roman"/>
          <w:sz w:val="24"/>
          <w:szCs w:val="24"/>
        </w:rPr>
        <w:t>5 тыс. рублей. Информационные листки для персонала – 5 тыс. руб.</w:t>
      </w:r>
    </w:p>
    <w:p w:rsidR="0028700E" w:rsidRPr="00293DAA" w:rsidRDefault="0028700E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203141" w:rsidRPr="00293DAA">
        <w:rPr>
          <w:rFonts w:ascii="Times New Roman" w:hAnsi="Times New Roman" w:cs="Times New Roman"/>
          <w:sz w:val="24"/>
          <w:szCs w:val="24"/>
        </w:rPr>
        <w:t xml:space="preserve">затрат на </w:t>
      </w:r>
      <w:r w:rsidRPr="00293DAA">
        <w:rPr>
          <w:rFonts w:ascii="Times New Roman" w:hAnsi="Times New Roman" w:cs="Times New Roman"/>
          <w:sz w:val="24"/>
          <w:szCs w:val="24"/>
        </w:rPr>
        <w:t>реорганизаци</w:t>
      </w:r>
      <w:r w:rsidR="00203141" w:rsidRPr="00293DAA">
        <w:rPr>
          <w:rFonts w:ascii="Times New Roman" w:hAnsi="Times New Roman" w:cs="Times New Roman"/>
          <w:sz w:val="24"/>
          <w:szCs w:val="24"/>
        </w:rPr>
        <w:t>ю</w:t>
      </w:r>
      <w:r w:rsidRPr="00293DAA">
        <w:rPr>
          <w:rFonts w:ascii="Times New Roman" w:hAnsi="Times New Roman" w:cs="Times New Roman"/>
          <w:sz w:val="24"/>
          <w:szCs w:val="24"/>
        </w:rPr>
        <w:t xml:space="preserve"> включите непредвиденные расходы в размере 7% рассчитанных расходов.</w:t>
      </w:r>
    </w:p>
    <w:p w:rsidR="00EE64BD" w:rsidRPr="00293DAA" w:rsidRDefault="004E7A8E" w:rsidP="00293DAA">
      <w:pPr>
        <w:pStyle w:val="a7"/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DAA">
        <w:rPr>
          <w:rFonts w:ascii="Times New Roman" w:hAnsi="Times New Roman" w:cs="Times New Roman"/>
          <w:i/>
          <w:sz w:val="24"/>
          <w:szCs w:val="24"/>
        </w:rPr>
        <w:t>Оценка бюджета затрат.</w:t>
      </w:r>
    </w:p>
    <w:p w:rsidR="004E7A8E" w:rsidRPr="00293DAA" w:rsidRDefault="004E7A8E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>Основными статьями и группами затрат в данном бюджете являются:</w:t>
      </w:r>
    </w:p>
    <w:p w:rsidR="004E7A8E" w:rsidRPr="00293DAA" w:rsidRDefault="004E7A8E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DAA">
        <w:rPr>
          <w:rFonts w:ascii="Times New Roman" w:hAnsi="Times New Roman" w:cs="Times New Roman"/>
          <w:sz w:val="24"/>
          <w:szCs w:val="24"/>
        </w:rPr>
        <w:t xml:space="preserve">Затраты на регистрационные мероприятия компании 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4000 руб., услуги фирмы, осуществляющей сопровождение документального оформления регистрации составляют 18000 руб.</w:t>
      </w:r>
    </w:p>
    <w:p w:rsidR="004E7A8E" w:rsidRPr="00293DAA" w:rsidRDefault="004E7A8E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статьей затрат является цена погашения кредиторской задолженности в сумме 800 тыс. руб.</w:t>
      </w:r>
    </w:p>
    <w:p w:rsidR="004E7A8E" w:rsidRPr="00293DAA" w:rsidRDefault="004E7A8E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Произведем расчет затрат с персоналом по оплате труда. Общая заработная плата равна в месяц=500 т.р. (директор)+700 т.р.</w:t>
      </w:r>
      <w:r w:rsidR="00E811DA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(заместитель директора и гл. бухгалтер) + зп инженера 250 т.р.+120 т.р.(бухгалтер и секретарь)=</w:t>
      </w:r>
      <w:r w:rsidR="00E811DA" w:rsidRPr="00293DAA">
        <w:rPr>
          <w:rFonts w:ascii="Times New Roman" w:hAnsi="Times New Roman" w:cs="Times New Roman"/>
        </w:rPr>
        <w:t xml:space="preserve"> </w:t>
      </w:r>
      <w:r w:rsidR="00E811DA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1570</w:t>
      </w:r>
      <w:r w:rsid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т.р. так</w:t>
      </w:r>
      <w:r w:rsidR="00E811DA"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данную сумму необходимо домножить на 3 в связи с компенсацией при ликвидации компании. И так же в бюджет затрат включены расходы 7% на непредвиденные расходы. </w:t>
      </w:r>
    </w:p>
    <w:p w:rsidR="00E811DA" w:rsidRPr="00293DAA" w:rsidRDefault="00E811DA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DAA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данный бюджет превышает по стоимости стоимость реализации мероприятий по открытию новой компании.</w:t>
      </w:r>
    </w:p>
    <w:p w:rsidR="00E811DA" w:rsidRPr="00293DAA" w:rsidRDefault="00E811DA" w:rsidP="00293DAA">
      <w:pPr>
        <w:pStyle w:val="a7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11DA" w:rsidRPr="00293DAA" w:rsidSect="0042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3880"/>
    <w:multiLevelType w:val="multilevel"/>
    <w:tmpl w:val="73B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A0065"/>
    <w:multiLevelType w:val="multilevel"/>
    <w:tmpl w:val="B6E6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44B1A"/>
    <w:multiLevelType w:val="multilevel"/>
    <w:tmpl w:val="C25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24A51"/>
    <w:multiLevelType w:val="hybridMultilevel"/>
    <w:tmpl w:val="37A8B5F8"/>
    <w:lvl w:ilvl="0" w:tplc="872050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FA12ED"/>
    <w:multiLevelType w:val="multilevel"/>
    <w:tmpl w:val="84A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C2CBC"/>
    <w:multiLevelType w:val="multilevel"/>
    <w:tmpl w:val="E49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7375C"/>
    <w:multiLevelType w:val="multilevel"/>
    <w:tmpl w:val="130E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30467"/>
    <w:multiLevelType w:val="multilevel"/>
    <w:tmpl w:val="22D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D028F"/>
    <w:multiLevelType w:val="multilevel"/>
    <w:tmpl w:val="D030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C70E5E"/>
    <w:multiLevelType w:val="multilevel"/>
    <w:tmpl w:val="A60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161B44"/>
    <w:multiLevelType w:val="multilevel"/>
    <w:tmpl w:val="531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7A5C66"/>
    <w:multiLevelType w:val="multilevel"/>
    <w:tmpl w:val="798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311EE"/>
    <w:multiLevelType w:val="multilevel"/>
    <w:tmpl w:val="25C2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D301EF"/>
    <w:multiLevelType w:val="multilevel"/>
    <w:tmpl w:val="292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81032"/>
    <w:multiLevelType w:val="hybridMultilevel"/>
    <w:tmpl w:val="F646766E"/>
    <w:lvl w:ilvl="0" w:tplc="407C55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1F1D96"/>
    <w:multiLevelType w:val="multilevel"/>
    <w:tmpl w:val="9660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07646"/>
    <w:multiLevelType w:val="multilevel"/>
    <w:tmpl w:val="4176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555BF"/>
    <w:multiLevelType w:val="multilevel"/>
    <w:tmpl w:val="8AF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16"/>
  </w:num>
  <w:num w:numId="11">
    <w:abstractNumId w:val="1"/>
  </w:num>
  <w:num w:numId="12">
    <w:abstractNumId w:val="7"/>
  </w:num>
  <w:num w:numId="13">
    <w:abstractNumId w:val="0"/>
  </w:num>
  <w:num w:numId="14">
    <w:abstractNumId w:val="8"/>
  </w:num>
  <w:num w:numId="15">
    <w:abstractNumId w:val="13"/>
  </w:num>
  <w:num w:numId="16">
    <w:abstractNumId w:val="1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1D"/>
    <w:rsid w:val="00035F8B"/>
    <w:rsid w:val="000B404A"/>
    <w:rsid w:val="000D5BAF"/>
    <w:rsid w:val="00203141"/>
    <w:rsid w:val="002534A4"/>
    <w:rsid w:val="0028700E"/>
    <w:rsid w:val="00293DAA"/>
    <w:rsid w:val="002E0088"/>
    <w:rsid w:val="003A1A4C"/>
    <w:rsid w:val="00420A8B"/>
    <w:rsid w:val="004E7A8E"/>
    <w:rsid w:val="005C3EC6"/>
    <w:rsid w:val="00637004"/>
    <w:rsid w:val="0066344C"/>
    <w:rsid w:val="006714A0"/>
    <w:rsid w:val="00712B15"/>
    <w:rsid w:val="0074065D"/>
    <w:rsid w:val="00787889"/>
    <w:rsid w:val="008577E8"/>
    <w:rsid w:val="008D7EA6"/>
    <w:rsid w:val="009B5C12"/>
    <w:rsid w:val="00A2320C"/>
    <w:rsid w:val="00A3251D"/>
    <w:rsid w:val="00BF1513"/>
    <w:rsid w:val="00C47E36"/>
    <w:rsid w:val="00C92336"/>
    <w:rsid w:val="00D17FB7"/>
    <w:rsid w:val="00D55C8B"/>
    <w:rsid w:val="00DA5EE2"/>
    <w:rsid w:val="00DF2613"/>
    <w:rsid w:val="00DF64D0"/>
    <w:rsid w:val="00E43D4A"/>
    <w:rsid w:val="00E67072"/>
    <w:rsid w:val="00E811DA"/>
    <w:rsid w:val="00EB0396"/>
    <w:rsid w:val="00EC3944"/>
    <w:rsid w:val="00EE64BD"/>
    <w:rsid w:val="00F912B1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3048A-A7E4-4159-947E-F563E123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2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32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rops">
    <w:name w:val="props"/>
    <w:basedOn w:val="a0"/>
    <w:rsid w:val="00A3251D"/>
  </w:style>
  <w:style w:type="character" w:customStyle="1" w:styleId="apple-converted-space">
    <w:name w:val="apple-converted-space"/>
    <w:basedOn w:val="a0"/>
    <w:rsid w:val="00A3251D"/>
  </w:style>
  <w:style w:type="paragraph" w:styleId="a3">
    <w:name w:val="Normal (Web)"/>
    <w:basedOn w:val="a"/>
    <w:uiPriority w:val="99"/>
    <w:semiHidden/>
    <w:unhideWhenUsed/>
    <w:rsid w:val="00A3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25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5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EA6"/>
    <w:pPr>
      <w:ind w:left="720"/>
      <w:contextualSpacing/>
    </w:pPr>
  </w:style>
  <w:style w:type="table" w:styleId="a8">
    <w:name w:val="Table Grid"/>
    <w:basedOn w:val="a1"/>
    <w:uiPriority w:val="59"/>
    <w:rsid w:val="00DF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370">
              <w:marLeft w:val="0"/>
              <w:marRight w:val="0"/>
              <w:marTop w:val="0"/>
              <w:marBottom w:val="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B56FB-B38A-4DDB-96B1-28D316A1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2819</Words>
  <Characters>21794</Characters>
  <Application>Microsoft Office Word</Application>
  <DocSecurity>0</DocSecurity>
  <Lines>484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2014-11-27T12:31:00Z</cp:lastPrinted>
  <dcterms:created xsi:type="dcterms:W3CDTF">2020-09-17T13:26:00Z</dcterms:created>
  <dcterms:modified xsi:type="dcterms:W3CDTF">2020-09-17T13:26:00Z</dcterms:modified>
</cp:coreProperties>
</file>